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806E" w14:textId="77777777" w:rsidR="00EF0C53" w:rsidRDefault="00245EC6" w:rsidP="00245EC6">
      <w:pPr>
        <w:jc w:val="center"/>
        <w:rPr>
          <w:b/>
        </w:rPr>
      </w:pPr>
      <w:r>
        <w:rPr>
          <w:b/>
        </w:rPr>
        <w:t>STANDEX INTERNATIONAL CORPORATION</w:t>
      </w:r>
    </w:p>
    <w:p w14:paraId="734CEEC0" w14:textId="77777777" w:rsidR="00245EC6" w:rsidRDefault="00245EC6" w:rsidP="00245EC6">
      <w:pPr>
        <w:jc w:val="center"/>
        <w:rPr>
          <w:b/>
        </w:rPr>
      </w:pPr>
      <w:r>
        <w:rPr>
          <w:b/>
        </w:rPr>
        <w:t>CONFLICT MINERALS POLICY STATEMENT</w:t>
      </w:r>
    </w:p>
    <w:p w14:paraId="69702014" w14:textId="77777777" w:rsidR="00245EC6" w:rsidRDefault="00245EC6" w:rsidP="00245EC6">
      <w:pPr>
        <w:jc w:val="center"/>
        <w:rPr>
          <w:b/>
        </w:rPr>
      </w:pPr>
    </w:p>
    <w:p w14:paraId="0D8B8180" w14:textId="77777777" w:rsidR="00245EC6" w:rsidRDefault="00245EC6" w:rsidP="00245EC6">
      <w:pPr>
        <w:jc w:val="both"/>
      </w:pPr>
    </w:p>
    <w:p w14:paraId="3BF3C3FF" w14:textId="77777777" w:rsidR="00245EC6" w:rsidRDefault="00245EC6" w:rsidP="00245EC6">
      <w:pPr>
        <w:jc w:val="both"/>
      </w:pPr>
      <w:r>
        <w:t xml:space="preserve">Due to the increased awareness of violence and human rights violations reportedly funded by profits from the mining and sale of certain minerals from the Democratic Republic of Congo and </w:t>
      </w:r>
      <w:r w:rsidR="00D56CFD">
        <w:t>adjoining</w:t>
      </w:r>
      <w:r>
        <w:t xml:space="preserve"> countries</w:t>
      </w:r>
      <w:r w:rsidR="00802840">
        <w:t xml:space="preserve"> (collectively the “DRC”)</w:t>
      </w:r>
      <w:r>
        <w:t xml:space="preserve">, </w:t>
      </w:r>
      <w:r w:rsidR="00802840">
        <w:t xml:space="preserve">section 1502 of </w:t>
      </w:r>
      <w:r>
        <w:t xml:space="preserve">the </w:t>
      </w:r>
      <w:r>
        <w:rPr>
          <w:b/>
        </w:rPr>
        <w:t>Dodd-Frank Wall Street Reform and Consumer Protection Act of 2010</w:t>
      </w:r>
      <w:r>
        <w:t xml:space="preserve"> </w:t>
      </w:r>
      <w:r w:rsidR="00306972">
        <w:t xml:space="preserve">(“Dodd-Frank”) </w:t>
      </w:r>
      <w:r>
        <w:t>directed the U.S. Securities and Exchange Commission (“SEC”)</w:t>
      </w:r>
      <w:r w:rsidR="00D56CFD">
        <w:t xml:space="preserve"> to adopt rules to implement disclosure requirements to create transparency and consumer awareness of the use by U.S. publicly-traded companies of “conflict minerals” (tin, tantalum, tungsten and gold, also known as “3TG”) that directly or indirectly benefit armed groups in </w:t>
      </w:r>
      <w:r w:rsidR="00802840">
        <w:t>the DRC</w:t>
      </w:r>
      <w:r w:rsidR="00D56CFD">
        <w:t xml:space="preserve">.  The SEC has imposed disclosure requirements on publicly-traded companies concerning the use of 3TG </w:t>
      </w:r>
      <w:r w:rsidR="00802840">
        <w:t xml:space="preserve">minerals </w:t>
      </w:r>
      <w:r w:rsidR="00D56CFD">
        <w:t>in their products, the origin of the metals used if they are not “conflict free” and the due diligence efforts employed to determine the country of origin and chain of custody of 3TG</w:t>
      </w:r>
      <w:r w:rsidR="00802840">
        <w:t xml:space="preserve"> minerals</w:t>
      </w:r>
      <w:r w:rsidR="00306972">
        <w:t xml:space="preserve"> (collectively with Dodd-Frank, the “Rule”)</w:t>
      </w:r>
      <w:r w:rsidR="00D56CFD">
        <w:t xml:space="preserve">.  Products manufactured by public companies are deemed to be “conflict free” if the product does not contain 3TG </w:t>
      </w:r>
      <w:r w:rsidR="00802840">
        <w:t xml:space="preserve">minerals </w:t>
      </w:r>
      <w:r w:rsidR="00D56CFD">
        <w:t>that directly or indirectly finances or benefits armed groups in the DRC.</w:t>
      </w:r>
      <w:r w:rsidR="00802840">
        <w:t xml:space="preserve">  </w:t>
      </w:r>
    </w:p>
    <w:p w14:paraId="11B2E5D5" w14:textId="77777777" w:rsidR="00306972" w:rsidRDefault="00306972" w:rsidP="00245EC6">
      <w:pPr>
        <w:jc w:val="both"/>
      </w:pPr>
    </w:p>
    <w:p w14:paraId="1727C7D7" w14:textId="77777777" w:rsidR="00306972" w:rsidRDefault="00802840" w:rsidP="00245EC6">
      <w:pPr>
        <w:jc w:val="both"/>
      </w:pPr>
      <w:r>
        <w:t xml:space="preserve">Standex supports the aims and objectives of Dodd-Frank, and we do not knowingly procure 3TG minerals that originate from </w:t>
      </w:r>
      <w:r w:rsidR="0049614F">
        <w:t xml:space="preserve">non-conflict free mines or smelters in </w:t>
      </w:r>
      <w:r>
        <w:t xml:space="preserve">the DRC.  </w:t>
      </w:r>
      <w:r w:rsidR="00306972">
        <w:t xml:space="preserve">Standex requires the use of certain 3TG </w:t>
      </w:r>
      <w:r w:rsidR="0049614F">
        <w:t xml:space="preserve">in raw materials and components in manufacturing </w:t>
      </w:r>
      <w:r w:rsidR="00306972">
        <w:t xml:space="preserve">for the functional performance of our products.  In compliance with the Rule, we have established this Conflict Minerals Policy Statement and </w:t>
      </w:r>
      <w:r>
        <w:t xml:space="preserve">have </w:t>
      </w:r>
      <w:r w:rsidR="00306972">
        <w:t>undertaken a variety of activities.  Because w</w:t>
      </w:r>
      <w:r w:rsidR="00631EE0">
        <w:t xml:space="preserve">e do not </w:t>
      </w:r>
      <w:r w:rsidR="00021F10">
        <w:t>directly</w:t>
      </w:r>
      <w:r w:rsidR="00306972">
        <w:t xml:space="preserve"> procure any 3TG </w:t>
      </w:r>
      <w:r w:rsidR="00021F10">
        <w:t xml:space="preserve">minerals from smelters or mines, </w:t>
      </w:r>
      <w:r w:rsidR="00631EE0">
        <w:t>we must rely on the source information provided by our suppliers in order to trace minerals to their origin.  We are working with our suppliers to ensure responsible sourcing throughout our supply chain</w:t>
      </w:r>
      <w:r w:rsidR="00021F10">
        <w:t>.  We have asked our suppliers to undertake reasonable due diligence with their supply chains to determine whether the 3TG minerals</w:t>
      </w:r>
      <w:r>
        <w:t xml:space="preserve"> that are used in certain products</w:t>
      </w:r>
      <w:r w:rsidR="0049614F">
        <w:t>, components and materials</w:t>
      </w:r>
      <w:r>
        <w:t xml:space="preserve"> supplied to us</w:t>
      </w:r>
      <w:r w:rsidR="00021F10">
        <w:t xml:space="preserve"> have been sourced from mines and smelters outside the DRC or </w:t>
      </w:r>
      <w:r>
        <w:t xml:space="preserve">from </w:t>
      </w:r>
      <w:r w:rsidR="00021F10">
        <w:t xml:space="preserve">mines and smelters that are conflict free.  Should Standex become aware of a supplier whose supply chain includes 3TG minerals </w:t>
      </w:r>
      <w:r>
        <w:t xml:space="preserve">procured </w:t>
      </w:r>
      <w:r w:rsidR="00021F10">
        <w:t>from a non-conflict free source, we will take appropriate actions to remedy the situation, including using our best efforts to transition the product</w:t>
      </w:r>
      <w:r w:rsidR="0049614F">
        <w:t>, component or materials</w:t>
      </w:r>
      <w:r w:rsidR="00021F10">
        <w:t xml:space="preserve"> </w:t>
      </w:r>
      <w:r>
        <w:t xml:space="preserve">containing non-conflict free 3TG minerals </w:t>
      </w:r>
      <w:r w:rsidR="00021F10">
        <w:t xml:space="preserve">to be conflict free.  We expect our suppliers will take similar actions so that our entire supply chain remains </w:t>
      </w:r>
      <w:r>
        <w:t>conflict free</w:t>
      </w:r>
      <w:r w:rsidR="00021F10">
        <w:t>.</w:t>
      </w:r>
    </w:p>
    <w:p w14:paraId="6C2A4411" w14:textId="77777777" w:rsidR="00021F10" w:rsidRDefault="00021F10" w:rsidP="00245EC6">
      <w:pPr>
        <w:jc w:val="both"/>
      </w:pPr>
    </w:p>
    <w:p w14:paraId="2C822C86" w14:textId="77777777" w:rsidR="00021F10" w:rsidRDefault="00021F10" w:rsidP="00245EC6">
      <w:pPr>
        <w:jc w:val="both"/>
      </w:pPr>
    </w:p>
    <w:p w14:paraId="18F2DD56" w14:textId="77777777" w:rsidR="00021F10" w:rsidRDefault="00021F10" w:rsidP="00245EC6">
      <w:pPr>
        <w:jc w:val="both"/>
      </w:pPr>
    </w:p>
    <w:p w14:paraId="3821D8C0" w14:textId="77777777" w:rsidR="00021F10" w:rsidRDefault="00021F10" w:rsidP="00245EC6">
      <w:pPr>
        <w:jc w:val="both"/>
      </w:pPr>
      <w:r>
        <w:t>/s/ David A. Dunbar</w:t>
      </w:r>
    </w:p>
    <w:p w14:paraId="0585138C" w14:textId="77777777" w:rsidR="00021F10" w:rsidRDefault="00021F10" w:rsidP="00245EC6">
      <w:pPr>
        <w:jc w:val="both"/>
      </w:pPr>
      <w:r>
        <w:t>David A. Dunbar</w:t>
      </w:r>
    </w:p>
    <w:p w14:paraId="5D4B9482" w14:textId="77777777" w:rsidR="00021F10" w:rsidRPr="00245EC6" w:rsidRDefault="00021F10" w:rsidP="00245EC6">
      <w:pPr>
        <w:jc w:val="both"/>
      </w:pPr>
      <w:r>
        <w:t>President/CEO</w:t>
      </w:r>
    </w:p>
    <w:sectPr w:rsidR="00021F10" w:rsidRPr="00245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EC6"/>
    <w:rsid w:val="00007950"/>
    <w:rsid w:val="00014621"/>
    <w:rsid w:val="00016425"/>
    <w:rsid w:val="00020A4D"/>
    <w:rsid w:val="00021849"/>
    <w:rsid w:val="00021F10"/>
    <w:rsid w:val="00031CB5"/>
    <w:rsid w:val="00042C25"/>
    <w:rsid w:val="00043C10"/>
    <w:rsid w:val="0004411E"/>
    <w:rsid w:val="00047028"/>
    <w:rsid w:val="00061358"/>
    <w:rsid w:val="00073B70"/>
    <w:rsid w:val="00086297"/>
    <w:rsid w:val="000900CA"/>
    <w:rsid w:val="00092487"/>
    <w:rsid w:val="000A50CF"/>
    <w:rsid w:val="000A756D"/>
    <w:rsid w:val="000C0174"/>
    <w:rsid w:val="000F3ABF"/>
    <w:rsid w:val="00107146"/>
    <w:rsid w:val="001121D2"/>
    <w:rsid w:val="00114C29"/>
    <w:rsid w:val="00117946"/>
    <w:rsid w:val="001229F2"/>
    <w:rsid w:val="00142B6A"/>
    <w:rsid w:val="00146504"/>
    <w:rsid w:val="00154149"/>
    <w:rsid w:val="0015641B"/>
    <w:rsid w:val="00156542"/>
    <w:rsid w:val="0016195D"/>
    <w:rsid w:val="0016391E"/>
    <w:rsid w:val="00175A51"/>
    <w:rsid w:val="00181F2E"/>
    <w:rsid w:val="001A01BC"/>
    <w:rsid w:val="001B34B9"/>
    <w:rsid w:val="001C19BB"/>
    <w:rsid w:val="001C7D21"/>
    <w:rsid w:val="001D1B6F"/>
    <w:rsid w:val="001D394B"/>
    <w:rsid w:val="001D5BA4"/>
    <w:rsid w:val="001E1BFE"/>
    <w:rsid w:val="001E29CC"/>
    <w:rsid w:val="001F491D"/>
    <w:rsid w:val="001F594B"/>
    <w:rsid w:val="001F719C"/>
    <w:rsid w:val="00214A1C"/>
    <w:rsid w:val="0021745A"/>
    <w:rsid w:val="00233FD3"/>
    <w:rsid w:val="0023723F"/>
    <w:rsid w:val="00241F88"/>
    <w:rsid w:val="00245EC6"/>
    <w:rsid w:val="002503D0"/>
    <w:rsid w:val="00252878"/>
    <w:rsid w:val="00252981"/>
    <w:rsid w:val="00262ECD"/>
    <w:rsid w:val="002672CE"/>
    <w:rsid w:val="00274993"/>
    <w:rsid w:val="00274A5E"/>
    <w:rsid w:val="002764CB"/>
    <w:rsid w:val="00277EE3"/>
    <w:rsid w:val="00286280"/>
    <w:rsid w:val="002863A2"/>
    <w:rsid w:val="0029047E"/>
    <w:rsid w:val="002907A7"/>
    <w:rsid w:val="00293517"/>
    <w:rsid w:val="002941D3"/>
    <w:rsid w:val="002A4D73"/>
    <w:rsid w:val="002B7851"/>
    <w:rsid w:val="002C255B"/>
    <w:rsid w:val="002C572B"/>
    <w:rsid w:val="002C7BE7"/>
    <w:rsid w:val="002D482A"/>
    <w:rsid w:val="002D778E"/>
    <w:rsid w:val="002E5EA3"/>
    <w:rsid w:val="00300AC1"/>
    <w:rsid w:val="003042B5"/>
    <w:rsid w:val="00306972"/>
    <w:rsid w:val="00312E2E"/>
    <w:rsid w:val="00314251"/>
    <w:rsid w:val="00316DA4"/>
    <w:rsid w:val="00335805"/>
    <w:rsid w:val="0033639E"/>
    <w:rsid w:val="0034245C"/>
    <w:rsid w:val="003519FD"/>
    <w:rsid w:val="00364BCD"/>
    <w:rsid w:val="00365E17"/>
    <w:rsid w:val="00367E3C"/>
    <w:rsid w:val="00383D31"/>
    <w:rsid w:val="0038660A"/>
    <w:rsid w:val="003910F8"/>
    <w:rsid w:val="003A311A"/>
    <w:rsid w:val="003A4E6B"/>
    <w:rsid w:val="003A5E9D"/>
    <w:rsid w:val="003B372C"/>
    <w:rsid w:val="003C0165"/>
    <w:rsid w:val="003C7232"/>
    <w:rsid w:val="003D304E"/>
    <w:rsid w:val="003D41A7"/>
    <w:rsid w:val="00410052"/>
    <w:rsid w:val="0041029C"/>
    <w:rsid w:val="00416F3F"/>
    <w:rsid w:val="004260B3"/>
    <w:rsid w:val="00431003"/>
    <w:rsid w:val="004363CE"/>
    <w:rsid w:val="00455CCE"/>
    <w:rsid w:val="00470475"/>
    <w:rsid w:val="0047286D"/>
    <w:rsid w:val="00473D07"/>
    <w:rsid w:val="004776FC"/>
    <w:rsid w:val="00481E2F"/>
    <w:rsid w:val="00486420"/>
    <w:rsid w:val="004877AC"/>
    <w:rsid w:val="00492057"/>
    <w:rsid w:val="00496090"/>
    <w:rsid w:val="0049614F"/>
    <w:rsid w:val="004A00C0"/>
    <w:rsid w:val="004A5C65"/>
    <w:rsid w:val="004B5016"/>
    <w:rsid w:val="004D60BD"/>
    <w:rsid w:val="004E60A2"/>
    <w:rsid w:val="004E6965"/>
    <w:rsid w:val="004F301D"/>
    <w:rsid w:val="004F6C8C"/>
    <w:rsid w:val="00501449"/>
    <w:rsid w:val="00504C4D"/>
    <w:rsid w:val="00512797"/>
    <w:rsid w:val="00517259"/>
    <w:rsid w:val="00523F33"/>
    <w:rsid w:val="005243B3"/>
    <w:rsid w:val="0052699D"/>
    <w:rsid w:val="0053250E"/>
    <w:rsid w:val="005430A0"/>
    <w:rsid w:val="00544AF1"/>
    <w:rsid w:val="00547FBE"/>
    <w:rsid w:val="00551A80"/>
    <w:rsid w:val="00553391"/>
    <w:rsid w:val="005732C1"/>
    <w:rsid w:val="005757D1"/>
    <w:rsid w:val="00575E48"/>
    <w:rsid w:val="00582180"/>
    <w:rsid w:val="00582746"/>
    <w:rsid w:val="005857D8"/>
    <w:rsid w:val="005909D4"/>
    <w:rsid w:val="00595FCA"/>
    <w:rsid w:val="005A1519"/>
    <w:rsid w:val="005B3335"/>
    <w:rsid w:val="005C45F4"/>
    <w:rsid w:val="005D0595"/>
    <w:rsid w:val="005D3033"/>
    <w:rsid w:val="005D7E13"/>
    <w:rsid w:val="005E34A8"/>
    <w:rsid w:val="005E78D8"/>
    <w:rsid w:val="005F2757"/>
    <w:rsid w:val="005F47F3"/>
    <w:rsid w:val="00607B6A"/>
    <w:rsid w:val="00615089"/>
    <w:rsid w:val="00620E0E"/>
    <w:rsid w:val="00631E48"/>
    <w:rsid w:val="00631EE0"/>
    <w:rsid w:val="006324DA"/>
    <w:rsid w:val="006411EE"/>
    <w:rsid w:val="00644CBA"/>
    <w:rsid w:val="00645E9E"/>
    <w:rsid w:val="00666D17"/>
    <w:rsid w:val="006774FA"/>
    <w:rsid w:val="006807B9"/>
    <w:rsid w:val="0068233C"/>
    <w:rsid w:val="00682394"/>
    <w:rsid w:val="0068475B"/>
    <w:rsid w:val="0068573B"/>
    <w:rsid w:val="00696656"/>
    <w:rsid w:val="006A44B7"/>
    <w:rsid w:val="006C38DD"/>
    <w:rsid w:val="006C4972"/>
    <w:rsid w:val="006D2970"/>
    <w:rsid w:val="006D2D2C"/>
    <w:rsid w:val="006F252A"/>
    <w:rsid w:val="006F3722"/>
    <w:rsid w:val="006F73EF"/>
    <w:rsid w:val="00701764"/>
    <w:rsid w:val="00711314"/>
    <w:rsid w:val="00714BA7"/>
    <w:rsid w:val="007163DF"/>
    <w:rsid w:val="00716FF3"/>
    <w:rsid w:val="00730D53"/>
    <w:rsid w:val="00731F41"/>
    <w:rsid w:val="0073535C"/>
    <w:rsid w:val="00742CB7"/>
    <w:rsid w:val="0075189B"/>
    <w:rsid w:val="007519B4"/>
    <w:rsid w:val="007544EA"/>
    <w:rsid w:val="00760EEE"/>
    <w:rsid w:val="00763E92"/>
    <w:rsid w:val="007649A7"/>
    <w:rsid w:val="007760EC"/>
    <w:rsid w:val="0078197D"/>
    <w:rsid w:val="00784C14"/>
    <w:rsid w:val="007C1CEF"/>
    <w:rsid w:val="007C3713"/>
    <w:rsid w:val="007C3C5A"/>
    <w:rsid w:val="007C422B"/>
    <w:rsid w:val="007C4BF5"/>
    <w:rsid w:val="007D0857"/>
    <w:rsid w:val="007D0A0B"/>
    <w:rsid w:val="007D0B7B"/>
    <w:rsid w:val="007D6900"/>
    <w:rsid w:val="007E0E4D"/>
    <w:rsid w:val="007F3BE7"/>
    <w:rsid w:val="007F50BE"/>
    <w:rsid w:val="007F6CC8"/>
    <w:rsid w:val="00802840"/>
    <w:rsid w:val="00802D67"/>
    <w:rsid w:val="0080320A"/>
    <w:rsid w:val="00810428"/>
    <w:rsid w:val="00831545"/>
    <w:rsid w:val="00836872"/>
    <w:rsid w:val="00836DA6"/>
    <w:rsid w:val="00846849"/>
    <w:rsid w:val="00852E22"/>
    <w:rsid w:val="0086730F"/>
    <w:rsid w:val="00870D68"/>
    <w:rsid w:val="00883C9D"/>
    <w:rsid w:val="008A2037"/>
    <w:rsid w:val="008B7468"/>
    <w:rsid w:val="008C161C"/>
    <w:rsid w:val="008C2ED7"/>
    <w:rsid w:val="008D2FF6"/>
    <w:rsid w:val="008D5522"/>
    <w:rsid w:val="008D6ECA"/>
    <w:rsid w:val="008E0494"/>
    <w:rsid w:val="008E2546"/>
    <w:rsid w:val="008E34F3"/>
    <w:rsid w:val="008E4A80"/>
    <w:rsid w:val="008F2EA6"/>
    <w:rsid w:val="008F3C8E"/>
    <w:rsid w:val="008F472B"/>
    <w:rsid w:val="009131A1"/>
    <w:rsid w:val="009176A9"/>
    <w:rsid w:val="00921AF6"/>
    <w:rsid w:val="00923023"/>
    <w:rsid w:val="00923F09"/>
    <w:rsid w:val="00927047"/>
    <w:rsid w:val="009420CE"/>
    <w:rsid w:val="00950137"/>
    <w:rsid w:val="00956C0D"/>
    <w:rsid w:val="00961D14"/>
    <w:rsid w:val="009653F4"/>
    <w:rsid w:val="00973D73"/>
    <w:rsid w:val="009804EB"/>
    <w:rsid w:val="00997369"/>
    <w:rsid w:val="00997DF4"/>
    <w:rsid w:val="009A1442"/>
    <w:rsid w:val="009A7A88"/>
    <w:rsid w:val="009B1530"/>
    <w:rsid w:val="009B3D20"/>
    <w:rsid w:val="009B600C"/>
    <w:rsid w:val="009B60F6"/>
    <w:rsid w:val="009B61A8"/>
    <w:rsid w:val="009C1540"/>
    <w:rsid w:val="009C193E"/>
    <w:rsid w:val="009C35D7"/>
    <w:rsid w:val="009D2D46"/>
    <w:rsid w:val="009D630E"/>
    <w:rsid w:val="009D6E1F"/>
    <w:rsid w:val="009E0289"/>
    <w:rsid w:val="009E5E47"/>
    <w:rsid w:val="009F2DC3"/>
    <w:rsid w:val="00A13749"/>
    <w:rsid w:val="00A200F5"/>
    <w:rsid w:val="00A215D8"/>
    <w:rsid w:val="00A22AB1"/>
    <w:rsid w:val="00A24B63"/>
    <w:rsid w:val="00A41339"/>
    <w:rsid w:val="00A43B10"/>
    <w:rsid w:val="00A4773E"/>
    <w:rsid w:val="00A502A1"/>
    <w:rsid w:val="00A51682"/>
    <w:rsid w:val="00A64CC3"/>
    <w:rsid w:val="00A73218"/>
    <w:rsid w:val="00A74A37"/>
    <w:rsid w:val="00A777B0"/>
    <w:rsid w:val="00A82592"/>
    <w:rsid w:val="00A83614"/>
    <w:rsid w:val="00A92AA2"/>
    <w:rsid w:val="00A9380D"/>
    <w:rsid w:val="00A973EE"/>
    <w:rsid w:val="00AA0A4D"/>
    <w:rsid w:val="00AA4AE3"/>
    <w:rsid w:val="00AA601B"/>
    <w:rsid w:val="00AA7018"/>
    <w:rsid w:val="00AB3B14"/>
    <w:rsid w:val="00AB70E9"/>
    <w:rsid w:val="00AB7992"/>
    <w:rsid w:val="00AC06A1"/>
    <w:rsid w:val="00AC2A00"/>
    <w:rsid w:val="00AC3AA8"/>
    <w:rsid w:val="00AD26D3"/>
    <w:rsid w:val="00AE1028"/>
    <w:rsid w:val="00AE5062"/>
    <w:rsid w:val="00AF3786"/>
    <w:rsid w:val="00AF785C"/>
    <w:rsid w:val="00B03008"/>
    <w:rsid w:val="00B06E32"/>
    <w:rsid w:val="00B143CB"/>
    <w:rsid w:val="00B24658"/>
    <w:rsid w:val="00B30E5E"/>
    <w:rsid w:val="00B37E14"/>
    <w:rsid w:val="00B44905"/>
    <w:rsid w:val="00B54E0D"/>
    <w:rsid w:val="00B55835"/>
    <w:rsid w:val="00B60E98"/>
    <w:rsid w:val="00B6356E"/>
    <w:rsid w:val="00B7795E"/>
    <w:rsid w:val="00B808E7"/>
    <w:rsid w:val="00B83615"/>
    <w:rsid w:val="00B9188A"/>
    <w:rsid w:val="00BA6BCB"/>
    <w:rsid w:val="00BB20DC"/>
    <w:rsid w:val="00BC6619"/>
    <w:rsid w:val="00BD7512"/>
    <w:rsid w:val="00BE2EB1"/>
    <w:rsid w:val="00BE41A4"/>
    <w:rsid w:val="00C01C43"/>
    <w:rsid w:val="00C026EB"/>
    <w:rsid w:val="00C07E3F"/>
    <w:rsid w:val="00C120CB"/>
    <w:rsid w:val="00C13110"/>
    <w:rsid w:val="00C22DB1"/>
    <w:rsid w:val="00C401BC"/>
    <w:rsid w:val="00C4022B"/>
    <w:rsid w:val="00C44BFE"/>
    <w:rsid w:val="00C45446"/>
    <w:rsid w:val="00C47297"/>
    <w:rsid w:val="00C57F0A"/>
    <w:rsid w:val="00C67BD4"/>
    <w:rsid w:val="00C726A5"/>
    <w:rsid w:val="00C83281"/>
    <w:rsid w:val="00C906F0"/>
    <w:rsid w:val="00C9146D"/>
    <w:rsid w:val="00C9511B"/>
    <w:rsid w:val="00CA75D8"/>
    <w:rsid w:val="00CB0398"/>
    <w:rsid w:val="00CB6A01"/>
    <w:rsid w:val="00CC3175"/>
    <w:rsid w:val="00CC486C"/>
    <w:rsid w:val="00CD471A"/>
    <w:rsid w:val="00CD6666"/>
    <w:rsid w:val="00CD6D41"/>
    <w:rsid w:val="00CE550E"/>
    <w:rsid w:val="00CF1E3E"/>
    <w:rsid w:val="00CF510D"/>
    <w:rsid w:val="00CF5489"/>
    <w:rsid w:val="00D02EB8"/>
    <w:rsid w:val="00D07C23"/>
    <w:rsid w:val="00D1287E"/>
    <w:rsid w:val="00D204F7"/>
    <w:rsid w:val="00D24BB1"/>
    <w:rsid w:val="00D40FFC"/>
    <w:rsid w:val="00D56CFD"/>
    <w:rsid w:val="00D65ED3"/>
    <w:rsid w:val="00D73B1C"/>
    <w:rsid w:val="00D7436F"/>
    <w:rsid w:val="00D84E8E"/>
    <w:rsid w:val="00D8731E"/>
    <w:rsid w:val="00D90935"/>
    <w:rsid w:val="00DA4F37"/>
    <w:rsid w:val="00DA69EC"/>
    <w:rsid w:val="00DB0C81"/>
    <w:rsid w:val="00DB621E"/>
    <w:rsid w:val="00DB6930"/>
    <w:rsid w:val="00DB7565"/>
    <w:rsid w:val="00DC33E7"/>
    <w:rsid w:val="00DD2231"/>
    <w:rsid w:val="00DE029D"/>
    <w:rsid w:val="00DE2BB8"/>
    <w:rsid w:val="00DE6A43"/>
    <w:rsid w:val="00DF066B"/>
    <w:rsid w:val="00DF4057"/>
    <w:rsid w:val="00E025B7"/>
    <w:rsid w:val="00E063C2"/>
    <w:rsid w:val="00E233EC"/>
    <w:rsid w:val="00E24416"/>
    <w:rsid w:val="00E32E4F"/>
    <w:rsid w:val="00E47592"/>
    <w:rsid w:val="00E6079F"/>
    <w:rsid w:val="00E65239"/>
    <w:rsid w:val="00E65B7A"/>
    <w:rsid w:val="00E71FFF"/>
    <w:rsid w:val="00E73ABB"/>
    <w:rsid w:val="00E75BB9"/>
    <w:rsid w:val="00E76381"/>
    <w:rsid w:val="00E830D4"/>
    <w:rsid w:val="00E94BEF"/>
    <w:rsid w:val="00E96A12"/>
    <w:rsid w:val="00E979BA"/>
    <w:rsid w:val="00EA0C03"/>
    <w:rsid w:val="00EA7E4C"/>
    <w:rsid w:val="00ED008B"/>
    <w:rsid w:val="00EE22CD"/>
    <w:rsid w:val="00EE236E"/>
    <w:rsid w:val="00EE7375"/>
    <w:rsid w:val="00EF0C53"/>
    <w:rsid w:val="00EF489F"/>
    <w:rsid w:val="00F03C46"/>
    <w:rsid w:val="00F060A9"/>
    <w:rsid w:val="00F06A1B"/>
    <w:rsid w:val="00F11AF2"/>
    <w:rsid w:val="00F17FBA"/>
    <w:rsid w:val="00F20DC3"/>
    <w:rsid w:val="00F22D59"/>
    <w:rsid w:val="00F3117D"/>
    <w:rsid w:val="00F42FAE"/>
    <w:rsid w:val="00F435DD"/>
    <w:rsid w:val="00F437B3"/>
    <w:rsid w:val="00F57173"/>
    <w:rsid w:val="00F605C0"/>
    <w:rsid w:val="00F7040C"/>
    <w:rsid w:val="00F729F2"/>
    <w:rsid w:val="00F7387D"/>
    <w:rsid w:val="00F8170D"/>
    <w:rsid w:val="00F91AF8"/>
    <w:rsid w:val="00F928EF"/>
    <w:rsid w:val="00FA61CD"/>
    <w:rsid w:val="00FB0198"/>
    <w:rsid w:val="00FB30A4"/>
    <w:rsid w:val="00FC29C9"/>
    <w:rsid w:val="00FC401C"/>
    <w:rsid w:val="00FC4E46"/>
    <w:rsid w:val="00FC60C3"/>
    <w:rsid w:val="00FC6CD7"/>
    <w:rsid w:val="00FD0366"/>
    <w:rsid w:val="00FD61D2"/>
    <w:rsid w:val="00FE03D2"/>
    <w:rsid w:val="00FE63B9"/>
    <w:rsid w:val="00FE758B"/>
    <w:rsid w:val="00FF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BE9A"/>
  <w15:docId w15:val="{1056181B-B854-4D47-9381-011A822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 Debbie</dc:creator>
  <cp:lastModifiedBy>Rosen, Debbie</cp:lastModifiedBy>
  <cp:revision>1</cp:revision>
  <dcterms:created xsi:type="dcterms:W3CDTF">2014-02-24T18:12:00Z</dcterms:created>
  <dcterms:modified xsi:type="dcterms:W3CDTF">2014-02-24T19:19:00Z</dcterms:modified>
</cp:coreProperties>
</file>